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E67B" w14:textId="71EE9A6A" w:rsidR="00B00972" w:rsidRPr="00870E82" w:rsidRDefault="00B00972" w:rsidP="00B00972">
      <w:pPr>
        <w:spacing w:after="0"/>
        <w:rPr>
          <w:rFonts w:ascii="Times New Roman" w:hAnsi="Times New Roman"/>
          <w:b/>
          <w:iCs/>
          <w:sz w:val="24"/>
          <w:szCs w:val="24"/>
        </w:rPr>
      </w:pPr>
      <w:r w:rsidRPr="007F4BA8">
        <w:rPr>
          <w:rFonts w:ascii="Times New Roman" w:hAnsi="Times New Roman"/>
          <w:b/>
          <w:sz w:val="24"/>
          <w:szCs w:val="24"/>
        </w:rPr>
        <w:t>CENWP-OD-</w:t>
      </w:r>
      <w:r w:rsidRPr="00F84E40">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t xml:space="preserve">     </w:t>
      </w:r>
      <w:r w:rsidR="005A5256">
        <w:rPr>
          <w:rFonts w:ascii="Times New Roman" w:hAnsi="Times New Roman"/>
          <w:b/>
          <w:iCs/>
          <w:sz w:val="24"/>
          <w:szCs w:val="24"/>
        </w:rPr>
        <w:t>2</w:t>
      </w:r>
      <w:r w:rsidR="007E578F">
        <w:rPr>
          <w:rFonts w:ascii="Times New Roman" w:hAnsi="Times New Roman"/>
          <w:b/>
          <w:iCs/>
          <w:sz w:val="24"/>
          <w:szCs w:val="24"/>
        </w:rPr>
        <w:t>7</w:t>
      </w:r>
      <w:r>
        <w:rPr>
          <w:rFonts w:ascii="Times New Roman" w:hAnsi="Times New Roman"/>
          <w:b/>
          <w:iCs/>
          <w:sz w:val="24"/>
          <w:szCs w:val="24"/>
        </w:rPr>
        <w:t xml:space="preserve"> </w:t>
      </w:r>
      <w:r w:rsidR="005A5256">
        <w:rPr>
          <w:rFonts w:ascii="Times New Roman" w:hAnsi="Times New Roman"/>
          <w:b/>
          <w:iCs/>
          <w:sz w:val="24"/>
          <w:szCs w:val="24"/>
        </w:rPr>
        <w:t>February</w:t>
      </w:r>
      <w:r>
        <w:rPr>
          <w:rFonts w:ascii="Times New Roman" w:hAnsi="Times New Roman"/>
          <w:b/>
          <w:iCs/>
          <w:sz w:val="24"/>
          <w:szCs w:val="24"/>
        </w:rPr>
        <w:t xml:space="preserve"> 2024</w:t>
      </w:r>
    </w:p>
    <w:p w14:paraId="67C4ABA9" w14:textId="77777777" w:rsidR="00B00972" w:rsidRDefault="00B00972" w:rsidP="00B00972">
      <w:pPr>
        <w:spacing w:after="0"/>
        <w:rPr>
          <w:rFonts w:ascii="Times New Roman" w:hAnsi="Times New Roman"/>
          <w:b/>
          <w:sz w:val="24"/>
          <w:szCs w:val="24"/>
        </w:rPr>
      </w:pPr>
    </w:p>
    <w:p w14:paraId="7EFA6E53" w14:textId="77777777" w:rsidR="00B00972" w:rsidRPr="00F84E40" w:rsidRDefault="00B00972" w:rsidP="00B00972">
      <w:pPr>
        <w:spacing w:after="0"/>
        <w:rPr>
          <w:rFonts w:ascii="Times New Roman" w:hAnsi="Times New Roman"/>
          <w:b/>
          <w:i/>
          <w:sz w:val="24"/>
          <w:szCs w:val="24"/>
        </w:rPr>
      </w:pPr>
      <w:r w:rsidRPr="007F4BA8">
        <w:rPr>
          <w:rFonts w:ascii="Times New Roman" w:hAnsi="Times New Roman"/>
          <w:b/>
          <w:sz w:val="24"/>
          <w:szCs w:val="24"/>
        </w:rPr>
        <w:t>MEMORANDUM FOR THE RECORD</w:t>
      </w:r>
      <w:r>
        <w:rPr>
          <w:rFonts w:ascii="Times New Roman" w:hAnsi="Times New Roman"/>
          <w:b/>
          <w:sz w:val="24"/>
          <w:szCs w:val="24"/>
        </w:rPr>
        <w:t xml:space="preserve"> </w:t>
      </w:r>
      <w:r>
        <w:rPr>
          <w:rFonts w:ascii="Times New Roman" w:hAnsi="Times New Roman"/>
          <w:b/>
          <w:sz w:val="24"/>
          <w:szCs w:val="24"/>
        </w:rPr>
        <w:br/>
      </w:r>
    </w:p>
    <w:p w14:paraId="686750A0" w14:textId="5AD98EC0" w:rsidR="00B00972" w:rsidRPr="007F4BA8" w:rsidRDefault="00B00972" w:rsidP="00B00972">
      <w:pPr>
        <w:spacing w:after="0"/>
        <w:rPr>
          <w:rFonts w:ascii="Times New Roman" w:hAnsi="Times New Roman"/>
          <w:b/>
          <w:sz w:val="24"/>
          <w:szCs w:val="24"/>
        </w:rPr>
      </w:pPr>
      <w:r w:rsidRPr="007F4BA8">
        <w:rPr>
          <w:rFonts w:ascii="Times New Roman" w:hAnsi="Times New Roman"/>
          <w:b/>
          <w:sz w:val="24"/>
          <w:szCs w:val="24"/>
        </w:rPr>
        <w:t xml:space="preserve">SUBJECT: </w:t>
      </w:r>
      <w:r>
        <w:rPr>
          <w:rFonts w:ascii="Times New Roman" w:hAnsi="Times New Roman"/>
          <w:b/>
          <w:sz w:val="24"/>
          <w:szCs w:val="24"/>
        </w:rPr>
        <w:t>24BON00</w:t>
      </w:r>
      <w:r w:rsidR="00AE3F87">
        <w:rPr>
          <w:rFonts w:ascii="Times New Roman" w:hAnsi="Times New Roman"/>
          <w:b/>
          <w:sz w:val="24"/>
          <w:szCs w:val="24"/>
        </w:rPr>
        <w:t>9 M</w:t>
      </w:r>
      <w:r>
        <w:rPr>
          <w:rFonts w:ascii="Times New Roman" w:hAnsi="Times New Roman"/>
          <w:b/>
          <w:sz w:val="24"/>
          <w:szCs w:val="24"/>
        </w:rPr>
        <w:t>FR Unit</w:t>
      </w:r>
      <w:r w:rsidR="00851DE8">
        <w:rPr>
          <w:rFonts w:ascii="Times New Roman" w:hAnsi="Times New Roman"/>
          <w:b/>
          <w:sz w:val="24"/>
          <w:szCs w:val="24"/>
        </w:rPr>
        <w:t>s 2, 5, and 8 Forced OOS for Oil Leak Investigation</w:t>
      </w:r>
    </w:p>
    <w:p w14:paraId="225DD38E" w14:textId="7A2505F4" w:rsidR="007E578F" w:rsidRDefault="007E578F" w:rsidP="007E578F">
      <w:pPr>
        <w:keepNext/>
        <w:spacing w:after="0" w:line="240" w:lineRule="auto"/>
        <w:rPr>
          <w:rFonts w:ascii="Times New Roman" w:hAnsi="Times New Roman"/>
          <w:sz w:val="24"/>
          <w:szCs w:val="24"/>
        </w:rPr>
      </w:pPr>
      <w:bookmarkStart w:id="0" w:name="_Ref441844117"/>
      <w:r>
        <w:rPr>
          <w:rFonts w:ascii="Times New Roman" w:eastAsia="Times New Roman" w:hAnsi="Times New Roman"/>
          <w:b/>
          <w:bCs/>
          <w:sz w:val="24"/>
          <w:szCs w:val="20"/>
        </w:rPr>
        <w:br/>
      </w:r>
      <w:r>
        <w:rPr>
          <w:rFonts w:ascii="Times New Roman" w:hAnsi="Times New Roman"/>
          <w:sz w:val="24"/>
          <w:szCs w:val="24"/>
        </w:rPr>
        <w:t xml:space="preserve">On Monday 26 February at 0900 Powerhouse 1 (PH1) Unit 2 was brought to service to assist with switching operations. Due to a lack of power generation need, U2 was </w:t>
      </w:r>
      <w:r w:rsidR="00B90C91">
        <w:rPr>
          <w:rFonts w:ascii="Times New Roman" w:hAnsi="Times New Roman"/>
          <w:sz w:val="24"/>
          <w:szCs w:val="24"/>
        </w:rPr>
        <w:t>returned to reserve shutdown (RS) status</w:t>
      </w:r>
      <w:r>
        <w:rPr>
          <w:rFonts w:ascii="Times New Roman" w:hAnsi="Times New Roman"/>
          <w:sz w:val="24"/>
          <w:szCs w:val="24"/>
        </w:rPr>
        <w:t xml:space="preserve"> at 1000. Upon Unit shutdown, Project Operations observed small spots of oil in the tailrace just downstream of U2. The small sheen that formed dissipated quickly and no environmental cleaning action was required. No sheen was observed beyond the PH1 tailrace. U2 was forced out of service (OOS) at 1013 and will remain OOS until a thorough investigation and inspection is complete, including a full dewater of the Unit.  </w:t>
      </w:r>
    </w:p>
    <w:p w14:paraId="0489A536" w14:textId="77777777" w:rsidR="007E578F" w:rsidRDefault="007E578F" w:rsidP="007E578F">
      <w:pPr>
        <w:keepNext/>
        <w:spacing w:after="0" w:line="240" w:lineRule="auto"/>
        <w:rPr>
          <w:rFonts w:ascii="Times New Roman" w:hAnsi="Times New Roman"/>
          <w:sz w:val="24"/>
          <w:szCs w:val="24"/>
        </w:rPr>
      </w:pPr>
    </w:p>
    <w:p w14:paraId="2F93CC0E" w14:textId="771AFB49" w:rsidR="007E578F" w:rsidRDefault="007E578F" w:rsidP="007E578F">
      <w:pPr>
        <w:keepNext/>
        <w:spacing w:after="0" w:line="240" w:lineRule="auto"/>
        <w:rPr>
          <w:rFonts w:ascii="Times New Roman" w:hAnsi="Times New Roman"/>
          <w:sz w:val="24"/>
          <w:szCs w:val="24"/>
        </w:rPr>
      </w:pPr>
      <w:r>
        <w:rPr>
          <w:rFonts w:ascii="Times New Roman" w:hAnsi="Times New Roman"/>
          <w:sz w:val="24"/>
          <w:szCs w:val="24"/>
        </w:rPr>
        <w:t xml:space="preserve">On Monday 26 February at approximately 1400 a sheen was observed in the PH1 tailrace. Start/stop testing was being performed on Units 5 and 8 at this time with coordination from the Project Environmental and Compliance teams, Project Engineers, and Project Operations. Upon </w:t>
      </w:r>
      <w:r w:rsidR="004D19A6">
        <w:rPr>
          <w:rFonts w:ascii="Times New Roman" w:hAnsi="Times New Roman"/>
          <w:sz w:val="24"/>
          <w:szCs w:val="24"/>
        </w:rPr>
        <w:t xml:space="preserve">shutdown of </w:t>
      </w:r>
      <w:r>
        <w:rPr>
          <w:rFonts w:ascii="Times New Roman" w:hAnsi="Times New Roman"/>
          <w:sz w:val="24"/>
          <w:szCs w:val="24"/>
        </w:rPr>
        <w:t>Unit</w:t>
      </w:r>
      <w:r w:rsidR="004D19A6">
        <w:rPr>
          <w:rFonts w:ascii="Times New Roman" w:hAnsi="Times New Roman"/>
          <w:sz w:val="24"/>
          <w:szCs w:val="24"/>
        </w:rPr>
        <w:t>s</w:t>
      </w:r>
      <w:r>
        <w:rPr>
          <w:rFonts w:ascii="Times New Roman" w:hAnsi="Times New Roman"/>
          <w:sz w:val="24"/>
          <w:szCs w:val="24"/>
        </w:rPr>
        <w:t xml:space="preserve"> </w:t>
      </w:r>
      <w:r w:rsidR="004D19A6">
        <w:rPr>
          <w:rFonts w:ascii="Times New Roman" w:hAnsi="Times New Roman"/>
          <w:sz w:val="24"/>
          <w:szCs w:val="24"/>
        </w:rPr>
        <w:t>5 and 8</w:t>
      </w:r>
      <w:r>
        <w:rPr>
          <w:rFonts w:ascii="Times New Roman" w:hAnsi="Times New Roman"/>
          <w:sz w:val="24"/>
          <w:szCs w:val="24"/>
        </w:rPr>
        <w:t>, small droplets of oil were seen to be rising below each Unit. Small rainbow sheens were noticed upon contact with the surface water but dissipated within seconds of making contact. Droplets appeared to discontinue within 10 minutes after shutdown of each Unit shutdown. Crews stationed at the tailrace remained to observe for about 45 mins after shutdown and no further sheen was noticed. No sheen was observed beyond the tailrace. Units 5 and 8 will remain OOS until a thorough investigation and inspection is complete, including a full dewater of both Units.</w:t>
      </w:r>
    </w:p>
    <w:p w14:paraId="5407FAD8" w14:textId="77777777" w:rsidR="007E578F" w:rsidRDefault="007E578F" w:rsidP="007E578F">
      <w:pPr>
        <w:keepNext/>
        <w:spacing w:after="0" w:line="240" w:lineRule="auto"/>
        <w:rPr>
          <w:rFonts w:ascii="Times New Roman" w:hAnsi="Times New Roman"/>
          <w:sz w:val="24"/>
          <w:szCs w:val="24"/>
        </w:rPr>
      </w:pPr>
    </w:p>
    <w:p w14:paraId="512F0E6E" w14:textId="77777777" w:rsidR="007E578F" w:rsidRDefault="007E578F" w:rsidP="007E578F">
      <w:pPr>
        <w:keepNext/>
        <w:spacing w:after="0" w:line="240" w:lineRule="auto"/>
        <w:rPr>
          <w:rFonts w:ascii="Times New Roman" w:hAnsi="Times New Roman"/>
          <w:sz w:val="24"/>
          <w:szCs w:val="24"/>
        </w:rPr>
      </w:pPr>
      <w:r>
        <w:rPr>
          <w:rFonts w:ascii="Times New Roman" w:hAnsi="Times New Roman"/>
          <w:sz w:val="24"/>
          <w:szCs w:val="24"/>
        </w:rPr>
        <w:t>Bonneville Lock &amp; Dam is still operating out of FPP – directed Unit Priority Order (Table BON-13) More detailed information on this can be found in MFRS 24BON001 – 24BON005 and 24BON007.</w:t>
      </w:r>
    </w:p>
    <w:p w14:paraId="15496343" w14:textId="77777777" w:rsidR="007E578F" w:rsidRDefault="007E578F" w:rsidP="007E578F">
      <w:pPr>
        <w:keepNext/>
        <w:spacing w:after="0" w:line="240" w:lineRule="auto"/>
        <w:rPr>
          <w:rFonts w:ascii="Times New Roman" w:hAnsi="Times New Roman"/>
          <w:sz w:val="24"/>
          <w:szCs w:val="24"/>
        </w:rPr>
      </w:pPr>
    </w:p>
    <w:p w14:paraId="3B71B7E3" w14:textId="4FD21C5C" w:rsidR="007E578F" w:rsidRDefault="007E578F" w:rsidP="007E578F">
      <w:pPr>
        <w:keepNext/>
        <w:spacing w:after="0" w:line="240" w:lineRule="auto"/>
        <w:rPr>
          <w:rFonts w:ascii="Times New Roman" w:hAnsi="Times New Roman"/>
          <w:sz w:val="24"/>
          <w:szCs w:val="24"/>
        </w:rPr>
      </w:pPr>
      <w:r>
        <w:rPr>
          <w:rFonts w:ascii="Times New Roman" w:hAnsi="Times New Roman"/>
          <w:sz w:val="24"/>
          <w:szCs w:val="24"/>
        </w:rPr>
        <w:t>PH1 Units 2</w:t>
      </w:r>
      <w:r w:rsidR="00B90C91">
        <w:rPr>
          <w:rFonts w:ascii="Times New Roman" w:hAnsi="Times New Roman"/>
          <w:sz w:val="24"/>
          <w:szCs w:val="24"/>
        </w:rPr>
        <w:t xml:space="preserve">, 3, 4, 5, 6, 7, 8, 9, and 10 </w:t>
      </w:r>
      <w:r>
        <w:rPr>
          <w:rFonts w:ascii="Times New Roman" w:hAnsi="Times New Roman"/>
          <w:sz w:val="24"/>
          <w:szCs w:val="24"/>
        </w:rPr>
        <w:t xml:space="preserve">are now all forced out of service due to oil leak investigations. Unit 1 is currently OOS for a planned annual overhaul outage this week </w:t>
      </w:r>
      <w:r w:rsidR="00DD5964">
        <w:rPr>
          <w:rFonts w:ascii="Times New Roman" w:hAnsi="Times New Roman"/>
          <w:sz w:val="24"/>
          <w:szCs w:val="24"/>
        </w:rPr>
        <w:t>and is expected to return Wednesday 28 February.</w:t>
      </w:r>
    </w:p>
    <w:p w14:paraId="14A8624C" w14:textId="77777777" w:rsidR="007E578F" w:rsidRDefault="007E578F" w:rsidP="007E578F">
      <w:pPr>
        <w:keepNext/>
        <w:spacing w:after="0" w:line="240" w:lineRule="auto"/>
        <w:rPr>
          <w:rFonts w:ascii="Times New Roman" w:hAnsi="Times New Roman"/>
          <w:sz w:val="24"/>
          <w:szCs w:val="24"/>
        </w:rPr>
      </w:pPr>
    </w:p>
    <w:p w14:paraId="1ACFC77E" w14:textId="7AA07C3F" w:rsidR="007E578F" w:rsidRDefault="007E578F" w:rsidP="007E578F">
      <w:pPr>
        <w:keepNext/>
        <w:spacing w:after="0" w:line="240" w:lineRule="auto"/>
        <w:rPr>
          <w:rFonts w:ascii="Times New Roman" w:hAnsi="Times New Roman"/>
          <w:sz w:val="24"/>
          <w:szCs w:val="24"/>
        </w:rPr>
      </w:pPr>
      <w:r>
        <w:rPr>
          <w:rFonts w:ascii="Times New Roman" w:hAnsi="Times New Roman"/>
          <w:sz w:val="24"/>
          <w:szCs w:val="24"/>
        </w:rPr>
        <w:t>The Project is utilizing the Powerhouse 2 (PH2) Corner Collector (B2CC) and Spillway for excess river flow above the capacity of PH2 Units</w:t>
      </w:r>
      <w:r w:rsidR="00B90C91">
        <w:rPr>
          <w:rFonts w:ascii="Times New Roman" w:hAnsi="Times New Roman"/>
          <w:sz w:val="24"/>
          <w:szCs w:val="24"/>
        </w:rPr>
        <w:t xml:space="preserve"> and to maintain tailwater elevations dictated by teletype BON R 122023 1340 for chum operations.</w:t>
      </w:r>
    </w:p>
    <w:p w14:paraId="7A4DE969" w14:textId="77777777" w:rsidR="007E578F" w:rsidRDefault="007E578F" w:rsidP="007E578F">
      <w:pPr>
        <w:keepNext/>
        <w:spacing w:after="0" w:line="240" w:lineRule="auto"/>
        <w:rPr>
          <w:rFonts w:ascii="Times New Roman" w:hAnsi="Times New Roman"/>
          <w:sz w:val="24"/>
          <w:szCs w:val="24"/>
        </w:rPr>
      </w:pPr>
    </w:p>
    <w:p w14:paraId="17C69192" w14:textId="3C4A2C73" w:rsidR="007E578F" w:rsidRPr="0085147F" w:rsidRDefault="007E578F" w:rsidP="007E578F">
      <w:pPr>
        <w:keepNext/>
        <w:spacing w:after="0" w:line="240" w:lineRule="auto"/>
        <w:rPr>
          <w:rFonts w:ascii="Times New Roman" w:hAnsi="Times New Roman"/>
          <w:sz w:val="24"/>
          <w:szCs w:val="24"/>
        </w:rPr>
      </w:pPr>
      <w:r>
        <w:rPr>
          <w:rFonts w:ascii="Times New Roman" w:hAnsi="Times New Roman"/>
          <w:iCs/>
          <w:sz w:val="24"/>
          <w:szCs w:val="24"/>
        </w:rPr>
        <w:t>Please see Table BON-13 below for the proper Unit Priority Order found in the 2024 FPP</w:t>
      </w:r>
      <w:r w:rsidR="00B90C91">
        <w:rPr>
          <w:rFonts w:ascii="Times New Roman" w:hAnsi="Times New Roman"/>
          <w:iCs/>
          <w:sz w:val="24"/>
          <w:szCs w:val="24"/>
        </w:rPr>
        <w:t>.</w:t>
      </w:r>
    </w:p>
    <w:p w14:paraId="3D7B4A00" w14:textId="77777777" w:rsidR="007E578F" w:rsidRDefault="007E578F" w:rsidP="007E578F">
      <w:pPr>
        <w:keepNext/>
        <w:spacing w:after="0" w:line="240" w:lineRule="auto"/>
        <w:rPr>
          <w:rFonts w:ascii="Times New Roman" w:hAnsi="Times New Roman"/>
          <w:iCs/>
          <w:sz w:val="24"/>
          <w:szCs w:val="24"/>
        </w:rPr>
      </w:pPr>
    </w:p>
    <w:p w14:paraId="727AE0A2" w14:textId="68B5E7B5" w:rsidR="00B00972" w:rsidRPr="00B00972" w:rsidRDefault="007E578F" w:rsidP="004952FC">
      <w:pPr>
        <w:keepNext/>
        <w:spacing w:after="0" w:line="240" w:lineRule="auto"/>
        <w:jc w:val="center"/>
        <w:rPr>
          <w:rFonts w:ascii="Times New Roman" w:eastAsia="Times New Roman" w:hAnsi="Times New Roman"/>
          <w:b/>
          <w:bCs/>
          <w:sz w:val="24"/>
          <w:szCs w:val="20"/>
        </w:rPr>
      </w:pPr>
      <w:r>
        <w:rPr>
          <w:rFonts w:ascii="Times New Roman" w:eastAsia="Times New Roman" w:hAnsi="Times New Roman"/>
          <w:b/>
          <w:bCs/>
          <w:sz w:val="24"/>
          <w:szCs w:val="20"/>
        </w:rPr>
        <w:br/>
      </w:r>
      <w:r>
        <w:rPr>
          <w:rFonts w:ascii="Times New Roman" w:eastAsia="Times New Roman" w:hAnsi="Times New Roman"/>
          <w:b/>
          <w:bCs/>
          <w:sz w:val="24"/>
          <w:szCs w:val="20"/>
        </w:rPr>
        <w:br/>
      </w:r>
      <w:r>
        <w:rPr>
          <w:rFonts w:ascii="Times New Roman" w:eastAsia="Times New Roman" w:hAnsi="Times New Roman"/>
          <w:b/>
          <w:bCs/>
          <w:sz w:val="24"/>
          <w:szCs w:val="20"/>
        </w:rPr>
        <w:lastRenderedPageBreak/>
        <w:br/>
      </w:r>
      <w:r w:rsidR="00B00972">
        <w:rPr>
          <w:rFonts w:ascii="Times New Roman" w:eastAsia="Times New Roman" w:hAnsi="Times New Roman"/>
          <w:b/>
          <w:bCs/>
          <w:sz w:val="24"/>
          <w:szCs w:val="20"/>
        </w:rPr>
        <w:t>Table BON-13</w:t>
      </w:r>
      <w:bookmarkEnd w:id="0"/>
      <w:r w:rsidR="00B00972">
        <w:rPr>
          <w:rFonts w:ascii="Times New Roman" w:eastAsia="Times New Roman" w:hAnsi="Times New Roman"/>
          <w:b/>
          <w:bCs/>
          <w:sz w:val="24"/>
          <w:szCs w:val="20"/>
        </w:rPr>
        <w:t>. Bonneville Dam Turbine Unit Priority Order.</w:t>
      </w:r>
    </w:p>
    <w:tbl>
      <w:tblPr>
        <w:tblpPr w:leftFromText="180" w:rightFromText="180" w:vertAnchor="page" w:horzAnchor="margin" w:tblpY="2026"/>
        <w:tblW w:w="101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23"/>
        <w:gridCol w:w="5158"/>
      </w:tblGrid>
      <w:tr w:rsidR="004952FC" w:rsidRPr="00B00972" w14:paraId="34EE839E" w14:textId="77777777" w:rsidTr="004952FC">
        <w:trPr>
          <w:cantSplit/>
          <w:trHeight w:val="236"/>
        </w:trPr>
        <w:tc>
          <w:tcPr>
            <w:tcW w:w="502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7825AEAD" w14:textId="77777777" w:rsidR="004952FC" w:rsidRPr="00B00972" w:rsidRDefault="004952FC" w:rsidP="004952FC">
            <w:pPr>
              <w:keepNext/>
              <w:snapToGrid w:val="0"/>
              <w:spacing w:after="0" w:line="240" w:lineRule="auto"/>
              <w:ind w:left="576" w:hanging="576"/>
              <w:jc w:val="center"/>
              <w:outlineLvl w:val="1"/>
              <w:rPr>
                <w:rFonts w:eastAsia="Times New Roman" w:cs="Calibri"/>
                <w:b/>
                <w:bCs/>
                <w:iCs/>
              </w:rPr>
            </w:pPr>
            <w:r w:rsidRPr="00B00972">
              <w:rPr>
                <w:rFonts w:eastAsia="Times New Roman" w:cs="Calibri"/>
                <w:b/>
                <w:bCs/>
                <w:iCs/>
              </w:rPr>
              <w:t>PERIOD / OPERATION</w:t>
            </w:r>
          </w:p>
        </w:tc>
        <w:tc>
          <w:tcPr>
            <w:tcW w:w="5158" w:type="dxa"/>
            <w:tcBorders>
              <w:top w:val="single" w:sz="12" w:space="0" w:color="auto"/>
              <w:left w:val="single" w:sz="4" w:space="0" w:color="auto"/>
              <w:bottom w:val="single" w:sz="12" w:space="0" w:color="auto"/>
              <w:right w:val="single" w:sz="12" w:space="0" w:color="auto"/>
            </w:tcBorders>
            <w:shd w:val="clear" w:color="auto" w:fill="D9D9D9"/>
            <w:vAlign w:val="center"/>
            <w:hideMark/>
          </w:tcPr>
          <w:p w14:paraId="58AB0BBF" w14:textId="77777777" w:rsidR="004952FC" w:rsidRPr="00B00972" w:rsidRDefault="004952FC" w:rsidP="004952FC">
            <w:pPr>
              <w:keepNext/>
              <w:snapToGrid w:val="0"/>
              <w:spacing w:after="0" w:line="240" w:lineRule="auto"/>
              <w:ind w:left="576" w:hanging="576"/>
              <w:jc w:val="center"/>
              <w:outlineLvl w:val="1"/>
              <w:rPr>
                <w:rFonts w:eastAsia="Times New Roman" w:cs="Calibri"/>
                <w:b/>
                <w:bCs/>
                <w:iCs/>
              </w:rPr>
            </w:pPr>
            <w:r w:rsidRPr="00B00972">
              <w:rPr>
                <w:rFonts w:eastAsia="Times New Roman" w:cs="Calibri"/>
                <w:b/>
                <w:bCs/>
                <w:iCs/>
              </w:rPr>
              <w:t>UNIT PRIORITY ORDER</w:t>
            </w:r>
          </w:p>
        </w:tc>
      </w:tr>
      <w:tr w:rsidR="004952FC" w:rsidRPr="00B00972" w14:paraId="6C8F948D" w14:textId="77777777" w:rsidTr="004952FC">
        <w:trPr>
          <w:cantSplit/>
          <w:trHeight w:val="637"/>
        </w:trPr>
        <w:tc>
          <w:tcPr>
            <w:tcW w:w="5023" w:type="dxa"/>
            <w:tcBorders>
              <w:top w:val="single" w:sz="12" w:space="0" w:color="auto"/>
              <w:left w:val="single" w:sz="12" w:space="0" w:color="auto"/>
              <w:bottom w:val="single" w:sz="4" w:space="0" w:color="auto"/>
              <w:right w:val="single" w:sz="4" w:space="0" w:color="auto"/>
            </w:tcBorders>
            <w:vAlign w:val="center"/>
            <w:hideMark/>
          </w:tcPr>
          <w:p w14:paraId="3D3C0716" w14:textId="77777777" w:rsidR="004952FC" w:rsidRPr="00B00972" w:rsidRDefault="004952FC" w:rsidP="004952FC">
            <w:pPr>
              <w:keepNext/>
              <w:spacing w:after="0" w:line="240" w:lineRule="auto"/>
              <w:jc w:val="center"/>
              <w:rPr>
                <w:rFonts w:eastAsia="Times New Roman" w:cs="Calibri"/>
              </w:rPr>
            </w:pPr>
            <w:r w:rsidRPr="00B00972">
              <w:rPr>
                <w:rFonts w:eastAsia="Times New Roman" w:cs="Calibri"/>
              </w:rPr>
              <w:t xml:space="preserve">Year-Round: </w:t>
            </w:r>
          </w:p>
          <w:p w14:paraId="42E8A3CB" w14:textId="77777777" w:rsidR="004952FC" w:rsidRPr="00B00972" w:rsidRDefault="004952FC" w:rsidP="004952FC">
            <w:pPr>
              <w:keepNext/>
              <w:spacing w:after="0" w:line="240" w:lineRule="auto"/>
              <w:jc w:val="center"/>
              <w:rPr>
                <w:rFonts w:eastAsia="Times New Roman" w:cs="Calibri"/>
              </w:rPr>
            </w:pPr>
            <w:r w:rsidRPr="00B00972">
              <w:rPr>
                <w:rFonts w:eastAsia="Times New Roman" w:cs="Calibri"/>
              </w:rPr>
              <w:t>Fish Ladders in service; PH1 Ladder out of service</w:t>
            </w:r>
          </w:p>
        </w:tc>
        <w:tc>
          <w:tcPr>
            <w:tcW w:w="5158" w:type="dxa"/>
            <w:tcBorders>
              <w:top w:val="single" w:sz="4" w:space="0" w:color="auto"/>
              <w:left w:val="single" w:sz="4" w:space="0" w:color="auto"/>
              <w:bottom w:val="single" w:sz="4" w:space="0" w:color="auto"/>
              <w:right w:val="single" w:sz="12" w:space="0" w:color="auto"/>
            </w:tcBorders>
            <w:vAlign w:val="center"/>
            <w:hideMark/>
          </w:tcPr>
          <w:p w14:paraId="71E0838D"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PH2</w:t>
            </w:r>
            <w:r w:rsidRPr="00B00972">
              <w:rPr>
                <w:rFonts w:eastAsia="Times New Roman" w:cs="Calibri"/>
              </w:rPr>
              <w:t xml:space="preserve">: 11, 18, 12, 17, 13, 14, 15, 16, </w:t>
            </w:r>
          </w:p>
          <w:p w14:paraId="4D23AC23"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Then</w:t>
            </w:r>
            <w:r w:rsidRPr="00B00972">
              <w:rPr>
                <w:rFonts w:eastAsia="Times New Roman" w:cs="Calibri"/>
              </w:rPr>
              <w:t xml:space="preserve"> </w:t>
            </w:r>
            <w:r w:rsidRPr="00B00972">
              <w:rPr>
                <w:rFonts w:eastAsia="Times New Roman" w:cs="Calibri"/>
                <w:b/>
              </w:rPr>
              <w:t>PH1</w:t>
            </w:r>
            <w:r w:rsidRPr="00B00972">
              <w:rPr>
                <w:rFonts w:eastAsia="Times New Roman" w:cs="Calibri"/>
              </w:rPr>
              <w:t>: 1, 10, 3, 6, 9, 4, 5, 8, 7, 2</w:t>
            </w:r>
          </w:p>
        </w:tc>
      </w:tr>
      <w:tr w:rsidR="004952FC" w:rsidRPr="00B00972" w14:paraId="0B9E8C6A" w14:textId="77777777" w:rsidTr="004952FC">
        <w:trPr>
          <w:cantSplit/>
          <w:trHeight w:val="645"/>
        </w:trPr>
        <w:tc>
          <w:tcPr>
            <w:tcW w:w="5023" w:type="dxa"/>
            <w:tcBorders>
              <w:top w:val="single" w:sz="12" w:space="0" w:color="auto"/>
              <w:left w:val="single" w:sz="12" w:space="0" w:color="auto"/>
              <w:bottom w:val="single" w:sz="12" w:space="0" w:color="auto"/>
              <w:right w:val="single" w:sz="4" w:space="0" w:color="auto"/>
            </w:tcBorders>
            <w:vAlign w:val="center"/>
            <w:hideMark/>
          </w:tcPr>
          <w:p w14:paraId="5B42DD42" w14:textId="77777777" w:rsidR="004952FC" w:rsidRPr="00B00972" w:rsidRDefault="004952FC" w:rsidP="004952FC">
            <w:pPr>
              <w:keepNext/>
              <w:spacing w:after="0" w:line="240" w:lineRule="auto"/>
              <w:jc w:val="center"/>
              <w:rPr>
                <w:rFonts w:eastAsia="Times New Roman" w:cs="Calibri"/>
                <w:bCs/>
              </w:rPr>
            </w:pPr>
            <w:r w:rsidRPr="00B00972">
              <w:rPr>
                <w:rFonts w:eastAsia="Times New Roman" w:cs="Calibri"/>
                <w:bCs/>
              </w:rPr>
              <w:t>PH2 Fish Ladder out of service</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2F2F0684"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PH1</w:t>
            </w:r>
            <w:r w:rsidRPr="00B00972">
              <w:rPr>
                <w:rFonts w:eastAsia="Times New Roman" w:cs="Calibri"/>
              </w:rPr>
              <w:t xml:space="preserve">: 1, 10, 3, 6, 9, 4, 5, 8, 7, 2, </w:t>
            </w:r>
          </w:p>
          <w:p w14:paraId="3A19D21E"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Then</w:t>
            </w:r>
            <w:r w:rsidRPr="00B00972">
              <w:rPr>
                <w:rFonts w:eastAsia="Times New Roman" w:cs="Calibri"/>
              </w:rPr>
              <w:t xml:space="preserve"> </w:t>
            </w:r>
            <w:r w:rsidRPr="00B00972">
              <w:rPr>
                <w:rFonts w:eastAsia="Times New Roman" w:cs="Calibri"/>
                <w:b/>
              </w:rPr>
              <w:t>PH2</w:t>
            </w:r>
            <w:r w:rsidRPr="00B00972">
              <w:rPr>
                <w:rFonts w:eastAsia="Times New Roman" w:cs="Calibri"/>
              </w:rPr>
              <w:t>: 11, 18, 12, 17, 13, 14, 15, 16</w:t>
            </w:r>
          </w:p>
        </w:tc>
      </w:tr>
      <w:tr w:rsidR="004952FC" w:rsidRPr="00B00972" w14:paraId="1493CEAD" w14:textId="77777777" w:rsidTr="004952FC">
        <w:trPr>
          <w:cantSplit/>
          <w:trHeight w:val="868"/>
        </w:trPr>
        <w:tc>
          <w:tcPr>
            <w:tcW w:w="5023" w:type="dxa"/>
            <w:tcBorders>
              <w:top w:val="single" w:sz="12" w:space="0" w:color="auto"/>
              <w:left w:val="single" w:sz="12" w:space="0" w:color="auto"/>
              <w:bottom w:val="single" w:sz="12" w:space="0" w:color="auto"/>
              <w:right w:val="single" w:sz="4" w:space="0" w:color="auto"/>
            </w:tcBorders>
            <w:vAlign w:val="center"/>
            <w:hideMark/>
          </w:tcPr>
          <w:p w14:paraId="5C7D64DF" w14:textId="77777777" w:rsidR="004952FC" w:rsidRPr="00B00972" w:rsidRDefault="004952FC" w:rsidP="004952FC">
            <w:pPr>
              <w:keepNext/>
              <w:spacing w:after="0" w:line="240" w:lineRule="auto"/>
              <w:jc w:val="center"/>
              <w:rPr>
                <w:rFonts w:eastAsia="Times New Roman" w:cs="Calibri"/>
                <w:bCs/>
              </w:rPr>
            </w:pPr>
            <w:r w:rsidRPr="00B00972">
              <w:rPr>
                <w:rFonts w:eastAsia="Times New Roman" w:cs="Calibri"/>
                <w:bCs/>
              </w:rPr>
              <w:t xml:space="preserve">Split Flows </w:t>
            </w:r>
          </w:p>
          <w:p w14:paraId="519398DA" w14:textId="77777777" w:rsidR="004952FC" w:rsidRPr="00B00972" w:rsidRDefault="004952FC" w:rsidP="004952FC">
            <w:pPr>
              <w:keepNext/>
              <w:spacing w:after="0" w:line="240" w:lineRule="auto"/>
              <w:jc w:val="center"/>
              <w:rPr>
                <w:rFonts w:eastAsia="Times New Roman" w:cs="Calibri"/>
              </w:rPr>
            </w:pPr>
            <w:r w:rsidRPr="00B00972">
              <w:rPr>
                <w:rFonts w:eastAsia="Times New Roman" w:cs="Calibri"/>
                <w:bCs/>
              </w:rPr>
              <w:t>(</w:t>
            </w:r>
            <w:proofErr w:type="gramStart"/>
            <w:r w:rsidRPr="00B00972">
              <w:rPr>
                <w:rFonts w:eastAsia="Times New Roman" w:cs="Calibri"/>
                <w:bCs/>
              </w:rPr>
              <w:t>see</w:t>
            </w:r>
            <w:proofErr w:type="gramEnd"/>
            <w:r w:rsidRPr="00B00972">
              <w:rPr>
                <w:rFonts w:eastAsia="Times New Roman" w:cs="Calibri"/>
                <w:bCs/>
              </w:rPr>
              <w:t xml:space="preserve"> </w:t>
            </w:r>
            <w:r w:rsidRPr="00B00972">
              <w:rPr>
                <w:rFonts w:eastAsia="Times New Roman" w:cs="Calibri"/>
                <w:b/>
                <w:bCs/>
              </w:rPr>
              <w:t>section 2.1.5</w:t>
            </w:r>
            <w:r w:rsidRPr="00B00972">
              <w:rPr>
                <w:rFonts w:eastAsia="Times New Roman" w:cs="Calibri"/>
              </w:rPr>
              <w:t>)</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265BB4DE"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PH1</w:t>
            </w:r>
            <w:r w:rsidRPr="00B00972">
              <w:rPr>
                <w:rFonts w:eastAsia="Times New Roman" w:cs="Calibri"/>
              </w:rPr>
              <w:t xml:space="preserve">: 1, 10 (or top two available PH1 priority units), </w:t>
            </w:r>
          </w:p>
          <w:p w14:paraId="2736820A"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Then PH2</w:t>
            </w:r>
            <w:r w:rsidRPr="00B00972">
              <w:rPr>
                <w:rFonts w:eastAsia="Times New Roman" w:cs="Calibri"/>
              </w:rPr>
              <w:t xml:space="preserve">: 11, 18, 12, 17, 13, 14, 15, 16, </w:t>
            </w:r>
          </w:p>
          <w:p w14:paraId="712787DB" w14:textId="77777777" w:rsidR="004952FC" w:rsidRPr="00B00972" w:rsidRDefault="004952FC" w:rsidP="004952FC">
            <w:pPr>
              <w:keepNext/>
              <w:spacing w:after="0" w:line="240" w:lineRule="auto"/>
              <w:rPr>
                <w:rFonts w:eastAsia="Times New Roman" w:cs="Calibri"/>
              </w:rPr>
            </w:pPr>
            <w:r w:rsidRPr="00B00972">
              <w:rPr>
                <w:rFonts w:eastAsia="Times New Roman" w:cs="Calibri"/>
                <w:b/>
              </w:rPr>
              <w:t>Then</w:t>
            </w:r>
            <w:r w:rsidRPr="00B00972">
              <w:rPr>
                <w:rFonts w:eastAsia="Times New Roman" w:cs="Calibri"/>
              </w:rPr>
              <w:t xml:space="preserve"> </w:t>
            </w:r>
            <w:r w:rsidRPr="00B00972">
              <w:rPr>
                <w:rFonts w:eastAsia="Times New Roman" w:cs="Calibri"/>
                <w:b/>
              </w:rPr>
              <w:t>PH1:</w:t>
            </w:r>
            <w:r w:rsidRPr="00B00972">
              <w:rPr>
                <w:rFonts w:eastAsia="Times New Roman" w:cs="Calibri"/>
              </w:rPr>
              <w:t xml:space="preserve"> 3, 6, 9, 4, 5, 8, 7, 2</w:t>
            </w:r>
          </w:p>
        </w:tc>
      </w:tr>
      <w:tr w:rsidR="004952FC" w:rsidRPr="00B00972" w14:paraId="5C7D672E" w14:textId="77777777" w:rsidTr="004952FC">
        <w:trPr>
          <w:cantSplit/>
          <w:trHeight w:val="346"/>
        </w:trPr>
        <w:tc>
          <w:tcPr>
            <w:tcW w:w="5023" w:type="dxa"/>
            <w:tcBorders>
              <w:top w:val="single" w:sz="12" w:space="0" w:color="auto"/>
              <w:left w:val="single" w:sz="12" w:space="0" w:color="auto"/>
              <w:bottom w:val="single" w:sz="4" w:space="0" w:color="808080"/>
              <w:right w:val="single" w:sz="4" w:space="0" w:color="auto"/>
            </w:tcBorders>
            <w:vAlign w:val="center"/>
            <w:hideMark/>
          </w:tcPr>
          <w:p w14:paraId="056C8EE7" w14:textId="77777777" w:rsidR="004952FC" w:rsidRPr="00B00972" w:rsidRDefault="004952FC" w:rsidP="004952FC">
            <w:pPr>
              <w:keepNext/>
              <w:spacing w:after="0" w:line="240" w:lineRule="auto"/>
              <w:jc w:val="center"/>
              <w:rPr>
                <w:rFonts w:eastAsia="Times New Roman" w:cs="Calibri"/>
                <w:bCs/>
              </w:rPr>
            </w:pPr>
            <w:r w:rsidRPr="00B00972">
              <w:rPr>
                <w:rFonts w:eastAsia="Times New Roman" w:cs="Calibri"/>
                <w:bCs/>
              </w:rPr>
              <w:t xml:space="preserve">PH1 Unit Priority </w:t>
            </w:r>
          </w:p>
        </w:tc>
        <w:tc>
          <w:tcPr>
            <w:tcW w:w="5158" w:type="dxa"/>
            <w:tcBorders>
              <w:top w:val="single" w:sz="12" w:space="0" w:color="auto"/>
              <w:left w:val="single" w:sz="4" w:space="0" w:color="auto"/>
              <w:bottom w:val="single" w:sz="4" w:space="0" w:color="808080"/>
              <w:right w:val="single" w:sz="12" w:space="0" w:color="auto"/>
            </w:tcBorders>
            <w:vAlign w:val="center"/>
            <w:hideMark/>
          </w:tcPr>
          <w:p w14:paraId="30B2F568" w14:textId="77777777" w:rsidR="004952FC" w:rsidRPr="00B00972" w:rsidRDefault="004952FC" w:rsidP="004952FC">
            <w:pPr>
              <w:keepNext/>
              <w:spacing w:after="0" w:line="240" w:lineRule="auto"/>
              <w:rPr>
                <w:rFonts w:eastAsia="Times New Roman" w:cs="Calibri"/>
              </w:rPr>
            </w:pPr>
            <w:r w:rsidRPr="00B00972">
              <w:rPr>
                <w:rFonts w:eastAsia="Times New Roman" w:cs="Calibri"/>
              </w:rPr>
              <w:t>1, 10, 3, 6, 9, 4, 5, 8, 7, 2</w:t>
            </w:r>
          </w:p>
        </w:tc>
      </w:tr>
      <w:tr w:rsidR="004952FC" w:rsidRPr="00B00972" w14:paraId="4C1A2D28" w14:textId="77777777" w:rsidTr="004952FC">
        <w:trPr>
          <w:cantSplit/>
          <w:trHeight w:val="363"/>
        </w:trPr>
        <w:tc>
          <w:tcPr>
            <w:tcW w:w="5023" w:type="dxa"/>
            <w:tcBorders>
              <w:top w:val="single" w:sz="4" w:space="0" w:color="808080"/>
              <w:left w:val="single" w:sz="12" w:space="0" w:color="auto"/>
              <w:bottom w:val="single" w:sz="12" w:space="0" w:color="auto"/>
              <w:right w:val="single" w:sz="4" w:space="0" w:color="auto"/>
            </w:tcBorders>
            <w:vAlign w:val="center"/>
            <w:hideMark/>
          </w:tcPr>
          <w:p w14:paraId="51EC25BA" w14:textId="77777777" w:rsidR="004952FC" w:rsidRPr="00B00972" w:rsidRDefault="004952FC" w:rsidP="004952FC">
            <w:pPr>
              <w:spacing w:after="0" w:line="240" w:lineRule="auto"/>
              <w:jc w:val="center"/>
              <w:rPr>
                <w:rFonts w:eastAsia="Times New Roman" w:cs="Calibri"/>
                <w:bCs/>
              </w:rPr>
            </w:pPr>
            <w:r w:rsidRPr="00B00972">
              <w:rPr>
                <w:rFonts w:eastAsia="Times New Roman" w:cs="Calibri"/>
                <w:bCs/>
              </w:rPr>
              <w:t xml:space="preserve">PH2 Unit Priority </w:t>
            </w:r>
          </w:p>
        </w:tc>
        <w:tc>
          <w:tcPr>
            <w:tcW w:w="5158" w:type="dxa"/>
            <w:tcBorders>
              <w:top w:val="single" w:sz="4" w:space="0" w:color="808080"/>
              <w:left w:val="single" w:sz="4" w:space="0" w:color="auto"/>
              <w:bottom w:val="single" w:sz="12" w:space="0" w:color="auto"/>
              <w:right w:val="single" w:sz="12" w:space="0" w:color="auto"/>
            </w:tcBorders>
            <w:vAlign w:val="center"/>
            <w:hideMark/>
          </w:tcPr>
          <w:p w14:paraId="6B703E7D" w14:textId="77777777" w:rsidR="004952FC" w:rsidRPr="00B00972" w:rsidRDefault="004952FC" w:rsidP="004952FC">
            <w:pPr>
              <w:spacing w:after="0" w:line="240" w:lineRule="auto"/>
              <w:rPr>
                <w:rFonts w:eastAsia="Times New Roman" w:cs="Calibri"/>
              </w:rPr>
            </w:pPr>
            <w:r w:rsidRPr="00B00972">
              <w:rPr>
                <w:rFonts w:eastAsia="Times New Roman" w:cs="Calibri"/>
              </w:rPr>
              <w:t>11, 18, 12, 17, 13, 14, 15, 16</w:t>
            </w:r>
          </w:p>
        </w:tc>
      </w:tr>
    </w:tbl>
    <w:p w14:paraId="09D5AE38" w14:textId="46070414" w:rsidR="007E578F" w:rsidRPr="007E578F" w:rsidRDefault="007E578F" w:rsidP="007E578F">
      <w:pPr>
        <w:jc w:val="right"/>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sidRPr="007E578F">
        <w:rPr>
          <w:rFonts w:ascii="Times New Roman" w:hAnsi="Times New Roman"/>
          <w:sz w:val="24"/>
          <w:szCs w:val="24"/>
        </w:rPr>
        <w:t>Sincerely,</w:t>
      </w:r>
      <w:r w:rsidRPr="007E578F">
        <w:rPr>
          <w:rFonts w:ascii="Times New Roman" w:hAnsi="Times New Roman"/>
          <w:sz w:val="24"/>
          <w:szCs w:val="24"/>
        </w:rPr>
        <w:br/>
        <w:t>Bonneville Project Fisheries</w:t>
      </w:r>
    </w:p>
    <w:sectPr w:rsidR="007E578F" w:rsidRPr="007E5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72"/>
    <w:rsid w:val="001F3381"/>
    <w:rsid w:val="001F3942"/>
    <w:rsid w:val="00272F79"/>
    <w:rsid w:val="00276DF4"/>
    <w:rsid w:val="00293E3C"/>
    <w:rsid w:val="002A03E5"/>
    <w:rsid w:val="003258E9"/>
    <w:rsid w:val="0034048C"/>
    <w:rsid w:val="004952FC"/>
    <w:rsid w:val="004D19A6"/>
    <w:rsid w:val="005730DA"/>
    <w:rsid w:val="005A5256"/>
    <w:rsid w:val="00605AB2"/>
    <w:rsid w:val="0061690A"/>
    <w:rsid w:val="00686520"/>
    <w:rsid w:val="006A01C9"/>
    <w:rsid w:val="006A381B"/>
    <w:rsid w:val="006B0E1E"/>
    <w:rsid w:val="006E0078"/>
    <w:rsid w:val="007279B5"/>
    <w:rsid w:val="007279C9"/>
    <w:rsid w:val="00765242"/>
    <w:rsid w:val="00774CF8"/>
    <w:rsid w:val="007B5626"/>
    <w:rsid w:val="007E578F"/>
    <w:rsid w:val="0085147F"/>
    <w:rsid w:val="00851DE8"/>
    <w:rsid w:val="00936649"/>
    <w:rsid w:val="00A71B46"/>
    <w:rsid w:val="00AE3F87"/>
    <w:rsid w:val="00B00972"/>
    <w:rsid w:val="00B05C25"/>
    <w:rsid w:val="00B90C91"/>
    <w:rsid w:val="00C2793A"/>
    <w:rsid w:val="00C81FCF"/>
    <w:rsid w:val="00C965F7"/>
    <w:rsid w:val="00D23048"/>
    <w:rsid w:val="00D76335"/>
    <w:rsid w:val="00DD5964"/>
    <w:rsid w:val="00E0606F"/>
    <w:rsid w:val="00E47AB1"/>
    <w:rsid w:val="00F65130"/>
    <w:rsid w:val="00FA376F"/>
    <w:rsid w:val="00FA6E47"/>
    <w:rsid w:val="00FB483B"/>
    <w:rsid w:val="00FC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106E"/>
  <w15:chartTrackingRefBased/>
  <w15:docId w15:val="{54DE7A49-312A-46D9-912C-EE99B84E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9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Jaselyn A CIV USARMY CENWP (USA)</dc:creator>
  <cp:keywords/>
  <dc:description/>
  <cp:lastModifiedBy>Madson, Patricia L CIV USARMY CENWP (USA)</cp:lastModifiedBy>
  <cp:revision>4</cp:revision>
  <dcterms:created xsi:type="dcterms:W3CDTF">2024-02-28T14:54:00Z</dcterms:created>
  <dcterms:modified xsi:type="dcterms:W3CDTF">2024-02-28T14:57:00Z</dcterms:modified>
</cp:coreProperties>
</file>